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4663" w14:textId="77777777" w:rsidR="003F7E86" w:rsidRPr="003F7E86" w:rsidRDefault="003F7E86" w:rsidP="003F7E86">
      <w:pPr>
        <w:pStyle w:val="Heading1"/>
        <w:rPr>
          <w:sz w:val="40"/>
          <w:szCs w:val="40"/>
        </w:rPr>
      </w:pPr>
      <w:r w:rsidRPr="003F7E86">
        <w:rPr>
          <w:sz w:val="40"/>
          <w:szCs w:val="40"/>
        </w:rPr>
        <w:t>COVID-19 Consent form</w:t>
      </w:r>
    </w:p>
    <w:p w14:paraId="4EFBC24B" w14:textId="63A759FA" w:rsidR="00885840" w:rsidRPr="003D0F14" w:rsidRDefault="00AF0BA1" w:rsidP="003F7E86">
      <w:pPr>
        <w:rPr>
          <w:sz w:val="24"/>
          <w:szCs w:val="24"/>
        </w:rPr>
      </w:pPr>
      <w:r w:rsidRPr="003D0F14">
        <w:rPr>
          <w:sz w:val="24"/>
          <w:szCs w:val="24"/>
        </w:rPr>
        <w:t xml:space="preserve">The </w:t>
      </w:r>
      <w:r w:rsidR="006C012F" w:rsidRPr="003D0F14">
        <w:rPr>
          <w:sz w:val="24"/>
          <w:szCs w:val="24"/>
        </w:rPr>
        <w:t>Football Association,</w:t>
      </w:r>
      <w:r w:rsidRPr="003D0F14">
        <w:rPr>
          <w:sz w:val="24"/>
          <w:szCs w:val="24"/>
        </w:rPr>
        <w:t xml:space="preserve"> in conjunction with Government advice, </w:t>
      </w:r>
      <w:r w:rsidR="001C2525" w:rsidRPr="003D0F14">
        <w:rPr>
          <w:sz w:val="24"/>
          <w:szCs w:val="24"/>
        </w:rPr>
        <w:t xml:space="preserve">have </w:t>
      </w:r>
      <w:r w:rsidR="00D003EA" w:rsidRPr="003D0F14">
        <w:rPr>
          <w:sz w:val="24"/>
          <w:szCs w:val="24"/>
        </w:rPr>
        <w:t xml:space="preserve">published plans </w:t>
      </w:r>
      <w:r w:rsidR="006C012F" w:rsidRPr="003D0F14">
        <w:rPr>
          <w:sz w:val="24"/>
          <w:szCs w:val="24"/>
        </w:rPr>
        <w:t>to resume</w:t>
      </w:r>
      <w:r w:rsidR="00A24C04" w:rsidRPr="003D0F14">
        <w:rPr>
          <w:sz w:val="24"/>
          <w:szCs w:val="24"/>
        </w:rPr>
        <w:t xml:space="preserve"> outdoor competi</w:t>
      </w:r>
      <w:r w:rsidR="00D003EA" w:rsidRPr="003D0F14">
        <w:rPr>
          <w:sz w:val="24"/>
          <w:szCs w:val="24"/>
        </w:rPr>
        <w:t>tive football</w:t>
      </w:r>
      <w:r w:rsidR="001C2525" w:rsidRPr="003D0F14">
        <w:rPr>
          <w:sz w:val="24"/>
          <w:szCs w:val="24"/>
        </w:rPr>
        <w:t xml:space="preserve"> in a phased manner</w:t>
      </w:r>
      <w:r w:rsidR="006C012F" w:rsidRPr="003D0F14">
        <w:rPr>
          <w:sz w:val="24"/>
          <w:szCs w:val="24"/>
        </w:rPr>
        <w:t xml:space="preserve">.  </w:t>
      </w:r>
      <w:r w:rsidR="002C6CAF" w:rsidRPr="003D0F14">
        <w:rPr>
          <w:sz w:val="24"/>
          <w:szCs w:val="24"/>
        </w:rPr>
        <w:t>The</w:t>
      </w:r>
      <w:r w:rsidR="005733B4" w:rsidRPr="003D0F14">
        <w:rPr>
          <w:sz w:val="24"/>
          <w:szCs w:val="24"/>
        </w:rPr>
        <w:t xml:space="preserve"> return </w:t>
      </w:r>
      <w:r w:rsidR="002C6CAF" w:rsidRPr="003D0F14">
        <w:rPr>
          <w:sz w:val="24"/>
          <w:szCs w:val="24"/>
        </w:rPr>
        <w:t>of</w:t>
      </w:r>
      <w:r w:rsidR="005733B4" w:rsidRPr="003D0F14">
        <w:rPr>
          <w:sz w:val="24"/>
          <w:szCs w:val="24"/>
        </w:rPr>
        <w:t xml:space="preserve"> grassroots football requires</w:t>
      </w:r>
      <w:r w:rsidR="00363066" w:rsidRPr="003D0F14">
        <w:rPr>
          <w:sz w:val="24"/>
          <w:szCs w:val="24"/>
        </w:rPr>
        <w:t xml:space="preserve"> </w:t>
      </w:r>
      <w:r w:rsidR="005733B4" w:rsidRPr="003D0F14">
        <w:rPr>
          <w:sz w:val="24"/>
          <w:szCs w:val="24"/>
        </w:rPr>
        <w:t>effort from all parties (clubs, coaches, players, officials and supporters) to provide an environment that is as safe as possible for everyone involved.</w:t>
      </w:r>
      <w:r w:rsidR="00E05DEF" w:rsidRPr="003D0F14">
        <w:rPr>
          <w:sz w:val="24"/>
          <w:szCs w:val="24"/>
        </w:rPr>
        <w:t xml:space="preserve"> </w:t>
      </w:r>
    </w:p>
    <w:p w14:paraId="2F22448F" w14:textId="199429F5" w:rsidR="005337A0" w:rsidRPr="003D0F14" w:rsidRDefault="005B32EC" w:rsidP="005B3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F14">
        <w:rPr>
          <w:sz w:val="24"/>
          <w:szCs w:val="24"/>
        </w:rPr>
        <w:t>Return of outdoor competitive grassroots football (17</w:t>
      </w:r>
      <w:r w:rsidRPr="003D0F14">
        <w:rPr>
          <w:sz w:val="24"/>
          <w:szCs w:val="24"/>
          <w:vertAlign w:val="superscript"/>
        </w:rPr>
        <w:t>th</w:t>
      </w:r>
      <w:r w:rsidRPr="003D0F14">
        <w:rPr>
          <w:sz w:val="24"/>
          <w:szCs w:val="24"/>
        </w:rPr>
        <w:t xml:space="preserve"> July) - </w:t>
      </w:r>
      <w:hyperlink r:id="rId7" w:history="1">
        <w:r w:rsidRPr="003D0F14">
          <w:rPr>
            <w:rStyle w:val="Hyperlink"/>
            <w:sz w:val="24"/>
            <w:szCs w:val="24"/>
          </w:rPr>
          <w:t>http://www.thefa.com/news/2020/jul/17/grassroots-guidance-for-competitive-football-restart-in-england-170720</w:t>
        </w:r>
      </w:hyperlink>
    </w:p>
    <w:p w14:paraId="00D5BECD" w14:textId="77777777" w:rsidR="00776E2A" w:rsidRPr="003D0F14" w:rsidRDefault="00566A2E" w:rsidP="00776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F14">
        <w:rPr>
          <w:sz w:val="24"/>
          <w:szCs w:val="24"/>
        </w:rPr>
        <w:t xml:space="preserve">Latest Government guidance on COVID-19 - </w:t>
      </w:r>
      <w:hyperlink r:id="rId8" w:history="1">
        <w:r w:rsidRPr="003D0F14">
          <w:rPr>
            <w:rStyle w:val="Hyperlink"/>
            <w:sz w:val="24"/>
            <w:szCs w:val="24"/>
          </w:rPr>
          <w:t>https://www.gov.uk/coronavirus</w:t>
        </w:r>
      </w:hyperlink>
    </w:p>
    <w:p w14:paraId="641A4F54" w14:textId="0020C028" w:rsidR="005B32EC" w:rsidRPr="003D0F14" w:rsidRDefault="00776E2A" w:rsidP="00776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F14">
        <w:rPr>
          <w:sz w:val="24"/>
          <w:szCs w:val="24"/>
        </w:rPr>
        <w:t>Whittlesford Warriors Risk Assessment</w:t>
      </w:r>
      <w:r w:rsidR="00566A2E" w:rsidRPr="003D0F14">
        <w:rPr>
          <w:sz w:val="24"/>
          <w:szCs w:val="24"/>
        </w:rPr>
        <w:t xml:space="preserve"> </w:t>
      </w:r>
      <w:r w:rsidR="00F82482">
        <w:rPr>
          <w:sz w:val="24"/>
          <w:szCs w:val="24"/>
        </w:rPr>
        <w:t xml:space="preserve">and associated guidance </w:t>
      </w:r>
      <w:r w:rsidR="001D7AD3" w:rsidRPr="003D0F14">
        <w:rPr>
          <w:sz w:val="24"/>
          <w:szCs w:val="24"/>
        </w:rPr>
        <w:t xml:space="preserve">- </w:t>
      </w:r>
      <w:hyperlink r:id="rId9" w:history="1">
        <w:r w:rsidR="00F82482" w:rsidRPr="004B1465">
          <w:rPr>
            <w:rStyle w:val="Hyperlink"/>
            <w:sz w:val="24"/>
            <w:szCs w:val="24"/>
          </w:rPr>
          <w:t>https://www.whittlesfordwarriors.co.uk/</w:t>
        </w:r>
        <w:r w:rsidR="00F82482" w:rsidRPr="004B1465">
          <w:rPr>
            <w:rStyle w:val="Hyperlink"/>
            <w:sz w:val="24"/>
            <w:szCs w:val="24"/>
          </w:rPr>
          <w:t>COVID-19</w:t>
        </w:r>
      </w:hyperlink>
      <w:r w:rsidR="00F82482">
        <w:rPr>
          <w:sz w:val="24"/>
          <w:szCs w:val="24"/>
        </w:rPr>
        <w:t xml:space="preserve"> </w:t>
      </w:r>
    </w:p>
    <w:p w14:paraId="2339C29C" w14:textId="20B2EBA1" w:rsidR="0002601B" w:rsidRDefault="00E152DD" w:rsidP="00E152DD">
      <w:pPr>
        <w:rPr>
          <w:sz w:val="24"/>
          <w:szCs w:val="24"/>
        </w:rPr>
      </w:pPr>
      <w:r w:rsidRPr="003D0F14">
        <w:rPr>
          <w:sz w:val="24"/>
          <w:szCs w:val="24"/>
        </w:rPr>
        <w:t>COVID-19 risks can be reduced but not eliminated completely.  The decision to return t</w:t>
      </w:r>
      <w:r w:rsidR="002C6CAF" w:rsidRPr="003D0F14">
        <w:rPr>
          <w:sz w:val="24"/>
          <w:szCs w:val="24"/>
        </w:rPr>
        <w:t xml:space="preserve">o </w:t>
      </w:r>
      <w:r w:rsidRPr="003D0F14">
        <w:rPr>
          <w:sz w:val="24"/>
          <w:szCs w:val="24"/>
        </w:rPr>
        <w:t>grassroots football is an individual one</w:t>
      </w:r>
      <w:r w:rsidR="002C6CAF" w:rsidRPr="003D0F14">
        <w:rPr>
          <w:sz w:val="24"/>
          <w:szCs w:val="24"/>
        </w:rPr>
        <w:t xml:space="preserve">, and </w:t>
      </w:r>
      <w:r w:rsidR="004A230B" w:rsidRPr="003D0F14">
        <w:rPr>
          <w:sz w:val="24"/>
          <w:szCs w:val="24"/>
        </w:rPr>
        <w:t xml:space="preserve">Whittlesford Warriors </w:t>
      </w:r>
      <w:r w:rsidR="002C6CAF" w:rsidRPr="003D0F14">
        <w:rPr>
          <w:sz w:val="24"/>
          <w:szCs w:val="24"/>
        </w:rPr>
        <w:t>require</w:t>
      </w:r>
      <w:r w:rsidR="00EC4267" w:rsidRPr="003D0F14">
        <w:rPr>
          <w:sz w:val="24"/>
          <w:szCs w:val="24"/>
        </w:rPr>
        <w:t xml:space="preserve">s </w:t>
      </w:r>
      <w:r w:rsidR="002C6CAF" w:rsidRPr="003D0F14">
        <w:rPr>
          <w:sz w:val="24"/>
          <w:szCs w:val="24"/>
        </w:rPr>
        <w:t xml:space="preserve">consent prior to </w:t>
      </w:r>
      <w:r w:rsidR="00EC4267" w:rsidRPr="003D0F14">
        <w:rPr>
          <w:sz w:val="24"/>
          <w:szCs w:val="24"/>
        </w:rPr>
        <w:t>players returning</w:t>
      </w:r>
      <w:r w:rsidR="00CA5E38" w:rsidRPr="003D0F14">
        <w:rPr>
          <w:sz w:val="24"/>
          <w:szCs w:val="24"/>
        </w:rPr>
        <w:t xml:space="preserve"> to football activities</w:t>
      </w:r>
      <w:r w:rsidR="00EC4267" w:rsidRPr="003D0F14">
        <w:rPr>
          <w:sz w:val="24"/>
          <w:szCs w:val="24"/>
        </w:rPr>
        <w:t>.</w:t>
      </w:r>
      <w:r w:rsidR="00B95978" w:rsidRPr="003D0F14">
        <w:rPr>
          <w:sz w:val="24"/>
          <w:szCs w:val="24"/>
        </w:rPr>
        <w:t xml:space="preserve">  </w:t>
      </w:r>
    </w:p>
    <w:p w14:paraId="0B063956" w14:textId="77777777" w:rsidR="003D0F14" w:rsidRPr="003D0F14" w:rsidRDefault="003D0F14" w:rsidP="00E152DD">
      <w:pPr>
        <w:rPr>
          <w:sz w:val="24"/>
          <w:szCs w:val="24"/>
        </w:rPr>
      </w:pPr>
    </w:p>
    <w:p w14:paraId="172E27E9" w14:textId="0A50D831" w:rsidR="001C0BF0" w:rsidRPr="003D0F14" w:rsidRDefault="001C0BF0" w:rsidP="001C0BF0">
      <w:pPr>
        <w:rPr>
          <w:sz w:val="24"/>
          <w:szCs w:val="24"/>
        </w:rPr>
      </w:pPr>
      <w:r w:rsidRPr="003D0F14">
        <w:rPr>
          <w:sz w:val="24"/>
          <w:szCs w:val="24"/>
        </w:rPr>
        <w:t>By signing this form you are</w:t>
      </w:r>
      <w:r w:rsidR="00593BC6">
        <w:rPr>
          <w:sz w:val="24"/>
          <w:szCs w:val="24"/>
        </w:rPr>
        <w:t xml:space="preserve"> confirming</w:t>
      </w:r>
      <w:r w:rsidRPr="003D0F14">
        <w:rPr>
          <w:sz w:val="24"/>
          <w:szCs w:val="24"/>
        </w:rPr>
        <w:t>:</w:t>
      </w:r>
    </w:p>
    <w:p w14:paraId="60BDCAD8" w14:textId="2C107DB2" w:rsidR="001C0BF0" w:rsidRPr="003D0F14" w:rsidRDefault="00593BC6" w:rsidP="00A37F88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Y</w:t>
      </w:r>
      <w:r w:rsidR="001C0BF0" w:rsidRPr="003D0F14">
        <w:rPr>
          <w:sz w:val="24"/>
          <w:szCs w:val="24"/>
        </w:rPr>
        <w:t>ou have read and understood the guidance for the return of competitive football</w:t>
      </w:r>
    </w:p>
    <w:p w14:paraId="644FF1E3" w14:textId="039C7294" w:rsidR="00167CBB" w:rsidRDefault="00851E92" w:rsidP="00A37F88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Y</w:t>
      </w:r>
      <w:r w:rsidR="001C0BF0" w:rsidRPr="003D0F14">
        <w:rPr>
          <w:sz w:val="24"/>
          <w:szCs w:val="24"/>
        </w:rPr>
        <w:t>ou and your child will comply with the COVID-19 risk reduction measures required by the club</w:t>
      </w:r>
    </w:p>
    <w:p w14:paraId="21E0FF22" w14:textId="2C72CF25" w:rsidR="003D0F14" w:rsidRDefault="00851E92" w:rsidP="00A37F88">
      <w:pPr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T</w:t>
      </w:r>
      <w:r w:rsidR="003D0F14">
        <w:rPr>
          <w:sz w:val="24"/>
          <w:szCs w:val="24"/>
        </w:rPr>
        <w:t xml:space="preserve">he club </w:t>
      </w:r>
      <w:r w:rsidR="001F1D0B">
        <w:rPr>
          <w:sz w:val="24"/>
          <w:szCs w:val="24"/>
        </w:rPr>
        <w:t>may keep</w:t>
      </w:r>
      <w:r w:rsidR="003D0F14">
        <w:rPr>
          <w:sz w:val="24"/>
          <w:szCs w:val="24"/>
        </w:rPr>
        <w:t xml:space="preserve"> contact details for 21 days to support Track and Trace</w:t>
      </w:r>
    </w:p>
    <w:p w14:paraId="78F0A276" w14:textId="77777777" w:rsidR="003D0F14" w:rsidRPr="003D0F14" w:rsidRDefault="003D0F14" w:rsidP="003D0F14">
      <w:pPr>
        <w:spacing w:after="0"/>
        <w:ind w:left="71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67CBB" w:rsidRPr="003D0F14" w14:paraId="7F0CE24B" w14:textId="77777777" w:rsidTr="00776E2A">
        <w:tc>
          <w:tcPr>
            <w:tcW w:w="1838" w:type="dxa"/>
          </w:tcPr>
          <w:p w14:paraId="37BAD945" w14:textId="7985B920" w:rsidR="00167CBB" w:rsidRPr="003D0F14" w:rsidRDefault="00E26E24" w:rsidP="00D61335">
            <w:pPr>
              <w:rPr>
                <w:b/>
                <w:bCs/>
                <w:sz w:val="24"/>
                <w:szCs w:val="24"/>
              </w:rPr>
            </w:pPr>
            <w:r w:rsidRPr="003D0F14">
              <w:rPr>
                <w:b/>
                <w:bCs/>
                <w:sz w:val="24"/>
                <w:szCs w:val="24"/>
              </w:rPr>
              <w:t>Player Name(s)</w:t>
            </w:r>
          </w:p>
        </w:tc>
        <w:tc>
          <w:tcPr>
            <w:tcW w:w="7178" w:type="dxa"/>
          </w:tcPr>
          <w:p w14:paraId="71C799D8" w14:textId="77777777" w:rsidR="00167CBB" w:rsidRPr="003D0F14" w:rsidRDefault="00167CBB" w:rsidP="00E152DD">
            <w:pPr>
              <w:rPr>
                <w:sz w:val="24"/>
                <w:szCs w:val="24"/>
              </w:rPr>
            </w:pPr>
          </w:p>
          <w:p w14:paraId="0CB83C76" w14:textId="77777777" w:rsidR="00D61335" w:rsidRPr="003D0F14" w:rsidRDefault="00D61335" w:rsidP="00E152DD">
            <w:pPr>
              <w:rPr>
                <w:sz w:val="24"/>
                <w:szCs w:val="24"/>
              </w:rPr>
            </w:pPr>
          </w:p>
          <w:p w14:paraId="162E089B" w14:textId="1165E2BE" w:rsidR="00D61335" w:rsidRPr="003D0F14" w:rsidRDefault="00D61335" w:rsidP="00E152DD">
            <w:pPr>
              <w:rPr>
                <w:sz w:val="24"/>
                <w:szCs w:val="24"/>
              </w:rPr>
            </w:pPr>
          </w:p>
        </w:tc>
      </w:tr>
      <w:tr w:rsidR="00E26E24" w:rsidRPr="003D0F14" w14:paraId="1FE8A243" w14:textId="77777777" w:rsidTr="00776E2A">
        <w:tc>
          <w:tcPr>
            <w:tcW w:w="1838" w:type="dxa"/>
          </w:tcPr>
          <w:p w14:paraId="2C525C18" w14:textId="1EE4061D" w:rsidR="00E26E24" w:rsidRPr="003D0F14" w:rsidRDefault="00E26E24" w:rsidP="00D61335">
            <w:pPr>
              <w:rPr>
                <w:b/>
                <w:bCs/>
                <w:sz w:val="24"/>
                <w:szCs w:val="24"/>
              </w:rPr>
            </w:pPr>
            <w:r w:rsidRPr="003D0F14">
              <w:rPr>
                <w:b/>
                <w:bCs/>
                <w:sz w:val="24"/>
                <w:szCs w:val="24"/>
              </w:rPr>
              <w:t>Parent / Carer Name</w:t>
            </w:r>
          </w:p>
        </w:tc>
        <w:tc>
          <w:tcPr>
            <w:tcW w:w="7178" w:type="dxa"/>
          </w:tcPr>
          <w:p w14:paraId="3F34FA06" w14:textId="77777777" w:rsidR="00E26E24" w:rsidRPr="003D0F14" w:rsidRDefault="00E26E24" w:rsidP="00E26E24">
            <w:pPr>
              <w:rPr>
                <w:sz w:val="24"/>
                <w:szCs w:val="24"/>
              </w:rPr>
            </w:pPr>
          </w:p>
          <w:p w14:paraId="3EF2A1C1" w14:textId="77777777" w:rsidR="00D61335" w:rsidRPr="003D0F14" w:rsidRDefault="00D61335" w:rsidP="00E26E24">
            <w:pPr>
              <w:rPr>
                <w:sz w:val="24"/>
                <w:szCs w:val="24"/>
              </w:rPr>
            </w:pPr>
          </w:p>
          <w:p w14:paraId="6EA3E081" w14:textId="6E68A0ED" w:rsidR="00D61335" w:rsidRPr="003D0F14" w:rsidRDefault="00D61335" w:rsidP="00E26E24">
            <w:pPr>
              <w:rPr>
                <w:sz w:val="24"/>
                <w:szCs w:val="24"/>
              </w:rPr>
            </w:pPr>
          </w:p>
        </w:tc>
      </w:tr>
      <w:tr w:rsidR="00E26E24" w:rsidRPr="003D0F14" w14:paraId="105E6A0B" w14:textId="77777777" w:rsidTr="00776E2A">
        <w:tc>
          <w:tcPr>
            <w:tcW w:w="1838" w:type="dxa"/>
          </w:tcPr>
          <w:p w14:paraId="3AA59F4F" w14:textId="2CCB3AFD" w:rsidR="00E26E24" w:rsidRPr="003D0F14" w:rsidRDefault="00E26E24" w:rsidP="00D61335">
            <w:pPr>
              <w:rPr>
                <w:b/>
                <w:bCs/>
                <w:sz w:val="24"/>
                <w:szCs w:val="24"/>
              </w:rPr>
            </w:pPr>
            <w:r w:rsidRPr="003D0F14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178" w:type="dxa"/>
          </w:tcPr>
          <w:p w14:paraId="56C035EB" w14:textId="77777777" w:rsidR="00E26E24" w:rsidRPr="003D0F14" w:rsidRDefault="00E26E24" w:rsidP="00E26E24">
            <w:pPr>
              <w:rPr>
                <w:sz w:val="24"/>
                <w:szCs w:val="24"/>
              </w:rPr>
            </w:pPr>
          </w:p>
          <w:p w14:paraId="2E972238" w14:textId="77777777" w:rsidR="00D61335" w:rsidRPr="003D0F14" w:rsidRDefault="00D61335" w:rsidP="00E26E24">
            <w:pPr>
              <w:rPr>
                <w:sz w:val="24"/>
                <w:szCs w:val="24"/>
              </w:rPr>
            </w:pPr>
          </w:p>
          <w:p w14:paraId="7EDD71A9" w14:textId="26E15C1A" w:rsidR="00D61335" w:rsidRPr="003D0F14" w:rsidRDefault="00D61335" w:rsidP="00E26E24">
            <w:pPr>
              <w:rPr>
                <w:sz w:val="24"/>
                <w:szCs w:val="24"/>
              </w:rPr>
            </w:pPr>
          </w:p>
        </w:tc>
      </w:tr>
      <w:tr w:rsidR="00E26E24" w:rsidRPr="003D0F14" w14:paraId="3B6D8A07" w14:textId="77777777" w:rsidTr="00776E2A">
        <w:tc>
          <w:tcPr>
            <w:tcW w:w="1838" w:type="dxa"/>
          </w:tcPr>
          <w:p w14:paraId="1116CF09" w14:textId="0B2EDEA6" w:rsidR="00E26E24" w:rsidRPr="003D0F14" w:rsidRDefault="00D61335" w:rsidP="00D61335">
            <w:pPr>
              <w:rPr>
                <w:b/>
                <w:bCs/>
                <w:sz w:val="24"/>
                <w:szCs w:val="24"/>
              </w:rPr>
            </w:pPr>
            <w:r w:rsidRPr="003D0F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78" w:type="dxa"/>
          </w:tcPr>
          <w:p w14:paraId="1EA9616C" w14:textId="77777777" w:rsidR="00E26E24" w:rsidRPr="003D0F14" w:rsidRDefault="00E26E24" w:rsidP="00E26E24">
            <w:pPr>
              <w:rPr>
                <w:sz w:val="24"/>
                <w:szCs w:val="24"/>
              </w:rPr>
            </w:pPr>
          </w:p>
          <w:p w14:paraId="3FC338A6" w14:textId="77777777" w:rsidR="00D61335" w:rsidRPr="003D0F14" w:rsidRDefault="00D61335" w:rsidP="00E26E24">
            <w:pPr>
              <w:rPr>
                <w:sz w:val="24"/>
                <w:szCs w:val="24"/>
              </w:rPr>
            </w:pPr>
          </w:p>
          <w:p w14:paraId="33115819" w14:textId="630B337D" w:rsidR="00D61335" w:rsidRPr="003D0F14" w:rsidRDefault="00D61335" w:rsidP="00E26E24">
            <w:pPr>
              <w:rPr>
                <w:sz w:val="24"/>
                <w:szCs w:val="24"/>
              </w:rPr>
            </w:pPr>
          </w:p>
        </w:tc>
      </w:tr>
    </w:tbl>
    <w:p w14:paraId="045CBEB9" w14:textId="77777777" w:rsidR="003D0F14" w:rsidRDefault="003D0F14" w:rsidP="00E152DD">
      <w:pPr>
        <w:rPr>
          <w:sz w:val="24"/>
          <w:szCs w:val="24"/>
        </w:rPr>
      </w:pPr>
    </w:p>
    <w:p w14:paraId="2ADDF878" w14:textId="54ACCDB7" w:rsidR="000B584B" w:rsidRPr="003D0F14" w:rsidRDefault="000B584B" w:rsidP="00E152DD">
      <w:pPr>
        <w:rPr>
          <w:sz w:val="24"/>
          <w:szCs w:val="24"/>
        </w:rPr>
      </w:pPr>
      <w:r w:rsidRPr="003D0F14">
        <w:rPr>
          <w:sz w:val="24"/>
          <w:szCs w:val="24"/>
        </w:rPr>
        <w:t xml:space="preserve">If you want to withdraw consent at any </w:t>
      </w:r>
      <w:r w:rsidR="003D0F14" w:rsidRPr="003D0F14">
        <w:rPr>
          <w:sz w:val="24"/>
          <w:szCs w:val="24"/>
        </w:rPr>
        <w:t>time,</w:t>
      </w:r>
      <w:r w:rsidRPr="003D0F14">
        <w:rPr>
          <w:sz w:val="24"/>
          <w:szCs w:val="24"/>
        </w:rPr>
        <w:t xml:space="preserve"> please contact your team manager.  If you have any concerns regarding the COVD-19 risk measures then please contact the club (</w:t>
      </w:r>
      <w:hyperlink r:id="rId10" w:history="1">
        <w:r w:rsidRPr="003D0F14">
          <w:rPr>
            <w:rStyle w:val="Hyperlink"/>
            <w:sz w:val="24"/>
            <w:szCs w:val="24"/>
          </w:rPr>
          <w:t>https://www.whittlesfordwarriors.co.uk/club-committee/</w:t>
        </w:r>
      </w:hyperlink>
      <w:r w:rsidRPr="003D0F14">
        <w:rPr>
          <w:sz w:val="24"/>
          <w:szCs w:val="24"/>
        </w:rPr>
        <w:t>).</w:t>
      </w:r>
    </w:p>
    <w:sectPr w:rsidR="000B584B" w:rsidRPr="003D0F14" w:rsidSect="001C0BF0">
      <w:headerReference w:type="default" r:id="rId11"/>
      <w:footerReference w:type="default" r:id="rId12"/>
      <w:pgSz w:w="11906" w:h="16838"/>
      <w:pgMar w:top="127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C07A" w14:textId="77777777" w:rsidR="000304D6" w:rsidRDefault="000304D6" w:rsidP="00710C57">
      <w:pPr>
        <w:spacing w:after="0" w:line="240" w:lineRule="auto"/>
      </w:pPr>
      <w:r>
        <w:separator/>
      </w:r>
    </w:p>
  </w:endnote>
  <w:endnote w:type="continuationSeparator" w:id="0">
    <w:p w14:paraId="6879BC97" w14:textId="77777777" w:rsidR="000304D6" w:rsidRDefault="000304D6" w:rsidP="0071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13FD" w14:textId="77777777" w:rsidR="00710C57" w:rsidRDefault="008C56DF" w:rsidP="00710C57">
    <w:pPr>
      <w:pStyle w:val="Footer"/>
      <w:jc w:val="right"/>
    </w:pPr>
    <w:r>
      <w:rPr>
        <w:noProof/>
      </w:rPr>
      <w:drawing>
        <wp:inline distT="0" distB="0" distL="0" distR="0" wp14:anchorId="21100EA1" wp14:editId="000E05EB">
          <wp:extent cx="1903518" cy="370501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p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612" cy="37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C57">
      <w:rPr>
        <w:noProof/>
      </w:rPr>
      <w:drawing>
        <wp:anchor distT="0" distB="0" distL="114300" distR="114300" simplePos="0" relativeHeight="251661312" behindDoc="1" locked="0" layoutInCell="1" allowOverlap="1" wp14:anchorId="3505AA2A" wp14:editId="355DE407">
          <wp:simplePos x="0" y="0"/>
          <wp:positionH relativeFrom="column">
            <wp:posOffset>-409575</wp:posOffset>
          </wp:positionH>
          <wp:positionV relativeFrom="paragraph">
            <wp:posOffset>-138430</wp:posOffset>
          </wp:positionV>
          <wp:extent cx="438150" cy="610870"/>
          <wp:effectExtent l="0" t="0" r="0" b="0"/>
          <wp:wrapTight wrapText="bothSides">
            <wp:wrapPolygon edited="0">
              <wp:start x="0" y="0"/>
              <wp:lineTo x="0" y="20881"/>
              <wp:lineTo x="20661" y="20881"/>
              <wp:lineTo x="206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arter Standa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0A62E" w14:textId="77777777" w:rsidR="00710C57" w:rsidRDefault="00710C57" w:rsidP="00710C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D8EB" w14:textId="77777777" w:rsidR="000304D6" w:rsidRDefault="000304D6" w:rsidP="00710C57">
      <w:pPr>
        <w:spacing w:after="0" w:line="240" w:lineRule="auto"/>
      </w:pPr>
      <w:r>
        <w:separator/>
      </w:r>
    </w:p>
  </w:footnote>
  <w:footnote w:type="continuationSeparator" w:id="0">
    <w:p w14:paraId="017712C3" w14:textId="77777777" w:rsidR="000304D6" w:rsidRDefault="000304D6" w:rsidP="0071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6398" w14:textId="77777777" w:rsidR="00710C57" w:rsidRPr="006D580F" w:rsidRDefault="008C56DF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3774FB" wp14:editId="548FA3F0">
              <wp:simplePos x="0" y="0"/>
              <wp:positionH relativeFrom="margin">
                <wp:posOffset>161925</wp:posOffset>
              </wp:positionH>
              <wp:positionV relativeFrom="paragraph">
                <wp:posOffset>-211455</wp:posOffset>
              </wp:positionV>
              <wp:extent cx="5114925" cy="419100"/>
              <wp:effectExtent l="0" t="0" r="0" b="0"/>
              <wp:wrapTight wrapText="bothSides">
                <wp:wrapPolygon edited="0">
                  <wp:start x="161" y="0"/>
                  <wp:lineTo x="161" y="20618"/>
                  <wp:lineTo x="21318" y="20618"/>
                  <wp:lineTo x="21318" y="0"/>
                  <wp:lineTo x="161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1AEB1" w14:textId="77777777" w:rsidR="00710C57" w:rsidRPr="00710C57" w:rsidRDefault="00710C57" w:rsidP="00710C57">
                          <w:pPr>
                            <w:pStyle w:val="Header"/>
                            <w:jc w:val="center"/>
                            <w:rPr>
                              <w:b/>
                              <w:color w:val="FF0000"/>
                              <w:sz w:val="48"/>
                              <w:szCs w:val="72"/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10C57">
                            <w:rPr>
                              <w:b/>
                              <w:color w:val="FF0000"/>
                              <w:sz w:val="48"/>
                              <w:szCs w:val="72"/>
                              <w14:textOutline w14:w="11112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Whittlesford Warriors Football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77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75pt;margin-top:-16.65pt;width:402.7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" filled="f" stroked="f">
              <v:textbox>
                <w:txbxContent>
                  <w:p w14:paraId="6E01AEB1" w14:textId="77777777" w:rsidR="00710C57" w:rsidRPr="00710C57" w:rsidRDefault="00710C57" w:rsidP="00710C57">
                    <w:pPr>
                      <w:pStyle w:val="Header"/>
                      <w:jc w:val="center"/>
                      <w:rPr>
                        <w:b/>
                        <w:color w:val="FF0000"/>
                        <w:sz w:val="48"/>
                        <w:szCs w:val="72"/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10C57">
                      <w:rPr>
                        <w:b/>
                        <w:color w:val="FF0000"/>
                        <w:sz w:val="48"/>
                        <w:szCs w:val="72"/>
                        <w14:textOutline w14:w="11112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Whittlesford Warriors Football Club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6D580F" w:rsidRPr="006D580F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2591179D" wp14:editId="4A43AB51">
          <wp:simplePos x="0" y="0"/>
          <wp:positionH relativeFrom="margin">
            <wp:posOffset>-304800</wp:posOffset>
          </wp:positionH>
          <wp:positionV relativeFrom="paragraph">
            <wp:posOffset>-227330</wp:posOffset>
          </wp:positionV>
          <wp:extent cx="695325" cy="556260"/>
          <wp:effectExtent l="0" t="0" r="9525" b="0"/>
          <wp:wrapTight wrapText="bothSides">
            <wp:wrapPolygon edited="0">
              <wp:start x="0" y="0"/>
              <wp:lineTo x="0" y="20712"/>
              <wp:lineTo x="21304" y="20712"/>
              <wp:lineTo x="2130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710C57" w:rsidRPr="006D580F">
        <w:rPr>
          <w:rStyle w:val="Hyperlink"/>
          <w:sz w:val="20"/>
        </w:rPr>
        <w:t>www.whittlesfordwarriors.co.uk</w:t>
      </w:r>
    </w:hyperlink>
    <w:r w:rsidR="006D580F" w:rsidRPr="006D580F">
      <w:rPr>
        <w:sz w:val="20"/>
      </w:rPr>
      <w:t xml:space="preserve"> | The Lawn, Duxford Road, Whittlesford, CB22 4NQ</w:t>
    </w:r>
  </w:p>
  <w:p w14:paraId="3EE28A1F" w14:textId="77777777" w:rsidR="00710C57" w:rsidRDefault="00710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4B51"/>
    <w:multiLevelType w:val="hybridMultilevel"/>
    <w:tmpl w:val="7486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F6B"/>
    <w:multiLevelType w:val="hybridMultilevel"/>
    <w:tmpl w:val="097C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57"/>
    <w:rsid w:val="0002601B"/>
    <w:rsid w:val="000304D6"/>
    <w:rsid w:val="00094C0B"/>
    <w:rsid w:val="000B584B"/>
    <w:rsid w:val="000F3ED4"/>
    <w:rsid w:val="00111A85"/>
    <w:rsid w:val="00112AF5"/>
    <w:rsid w:val="00113550"/>
    <w:rsid w:val="00167CBB"/>
    <w:rsid w:val="001C0BF0"/>
    <w:rsid w:val="001C2525"/>
    <w:rsid w:val="001D7AD3"/>
    <w:rsid w:val="001F1D0B"/>
    <w:rsid w:val="002C6CAF"/>
    <w:rsid w:val="002D6F9D"/>
    <w:rsid w:val="00326444"/>
    <w:rsid w:val="00363066"/>
    <w:rsid w:val="00375ABD"/>
    <w:rsid w:val="0037610B"/>
    <w:rsid w:val="003C7F95"/>
    <w:rsid w:val="003D0F14"/>
    <w:rsid w:val="003F7E86"/>
    <w:rsid w:val="00411595"/>
    <w:rsid w:val="00482AA1"/>
    <w:rsid w:val="004A05B3"/>
    <w:rsid w:val="004A230B"/>
    <w:rsid w:val="00504D47"/>
    <w:rsid w:val="005337A0"/>
    <w:rsid w:val="00566A2E"/>
    <w:rsid w:val="005733B4"/>
    <w:rsid w:val="00593BC6"/>
    <w:rsid w:val="005B32EC"/>
    <w:rsid w:val="00605FF9"/>
    <w:rsid w:val="00681181"/>
    <w:rsid w:val="00685D24"/>
    <w:rsid w:val="006C012F"/>
    <w:rsid w:val="006D580F"/>
    <w:rsid w:val="00710C57"/>
    <w:rsid w:val="00776E2A"/>
    <w:rsid w:val="007F5B95"/>
    <w:rsid w:val="00811B6E"/>
    <w:rsid w:val="00851E92"/>
    <w:rsid w:val="0085306B"/>
    <w:rsid w:val="00885840"/>
    <w:rsid w:val="008C56DF"/>
    <w:rsid w:val="00A15800"/>
    <w:rsid w:val="00A24C04"/>
    <w:rsid w:val="00A37F88"/>
    <w:rsid w:val="00AF0BA1"/>
    <w:rsid w:val="00B33E59"/>
    <w:rsid w:val="00B3422A"/>
    <w:rsid w:val="00B84AF3"/>
    <w:rsid w:val="00B95978"/>
    <w:rsid w:val="00C44106"/>
    <w:rsid w:val="00CA5E38"/>
    <w:rsid w:val="00D003EA"/>
    <w:rsid w:val="00D46CF0"/>
    <w:rsid w:val="00D61335"/>
    <w:rsid w:val="00D710D2"/>
    <w:rsid w:val="00E05DEF"/>
    <w:rsid w:val="00E152DD"/>
    <w:rsid w:val="00E16AF8"/>
    <w:rsid w:val="00E26E24"/>
    <w:rsid w:val="00E71235"/>
    <w:rsid w:val="00EC38C5"/>
    <w:rsid w:val="00EC4267"/>
    <w:rsid w:val="00F17803"/>
    <w:rsid w:val="00F82482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47CED"/>
  <w15:chartTrackingRefBased/>
  <w15:docId w15:val="{E8C6B4DA-8979-43B2-BE18-0D7CA902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57"/>
  </w:style>
  <w:style w:type="paragraph" w:styleId="Footer">
    <w:name w:val="footer"/>
    <w:basedOn w:val="Normal"/>
    <w:link w:val="FooterChar"/>
    <w:uiPriority w:val="99"/>
    <w:unhideWhenUsed/>
    <w:rsid w:val="0071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57"/>
  </w:style>
  <w:style w:type="table" w:styleId="TableGrid">
    <w:name w:val="Table Grid"/>
    <w:basedOn w:val="TableNormal"/>
    <w:uiPriority w:val="39"/>
    <w:rsid w:val="0071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4D4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7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fa.com/news/2020/jul/17/grassroots-guidance-for-competitive-football-restart-in-england-1707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hittlesfordwarriors.co.uk/club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tlesfordwarriors.co.uk/COVID-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ittlesfordwarriors.co.uk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Andrew Lee</cp:lastModifiedBy>
  <cp:revision>58</cp:revision>
  <dcterms:created xsi:type="dcterms:W3CDTF">2020-07-22T22:38:00Z</dcterms:created>
  <dcterms:modified xsi:type="dcterms:W3CDTF">2020-07-30T22:34:00Z</dcterms:modified>
</cp:coreProperties>
</file>